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CAF3B">
      <w:pPr>
        <w:keepNext/>
        <w:keepLines/>
        <w:pageBreakBefore/>
        <w:jc w:val="center"/>
        <w:outlineLvl w:val="0"/>
        <w:rPr>
          <w:rFonts w:hint="eastAsia" w:ascii="仿宋" w:hAnsi="仿宋" w:eastAsia="仿宋" w:cs="仿宋"/>
          <w:b/>
          <w:color w:val="auto"/>
          <w:sz w:val="44"/>
          <w:szCs w:val="44"/>
          <w:highlight w:val="none"/>
        </w:rPr>
      </w:pPr>
      <w:bookmarkStart w:id="0" w:name="_Toc81575205"/>
      <w:bookmarkStart w:id="1" w:name="_Toc7839"/>
      <w:bookmarkStart w:id="2" w:name="_Toc81575168"/>
      <w:r>
        <w:rPr>
          <w:rFonts w:hint="eastAsia" w:ascii="仿宋" w:hAnsi="仿宋" w:eastAsia="仿宋" w:cs="仿宋"/>
          <w:b/>
          <w:color w:val="auto"/>
          <w:sz w:val="44"/>
          <w:szCs w:val="44"/>
          <w:highlight w:val="none"/>
        </w:rPr>
        <w:t>采购需求</w:t>
      </w:r>
      <w:bookmarkEnd w:id="0"/>
      <w:bookmarkEnd w:id="1"/>
      <w:bookmarkEnd w:id="2"/>
    </w:p>
    <w:p w14:paraId="720D0251">
      <w:pPr>
        <w:spacing w:before="120" w:after="120" w:line="0" w:lineRule="atLeast"/>
        <w:jc w:val="left"/>
        <w:rPr>
          <w:rFonts w:ascii="宋体" w:hAnsi="宋体" w:cs="宋体"/>
          <w:b/>
          <w:bCs/>
          <w:color w:val="000000" w:themeColor="text1"/>
          <w:sz w:val="24"/>
          <w:szCs w:val="24"/>
          <w:highlight w:val="none"/>
          <w14:textFill>
            <w14:solidFill>
              <w14:schemeClr w14:val="tx1"/>
            </w14:solidFill>
          </w14:textFill>
        </w:rPr>
      </w:pPr>
    </w:p>
    <w:p w14:paraId="5029587B">
      <w:pPr>
        <w:spacing w:before="120" w:after="120" w:line="0" w:lineRule="atLeast"/>
        <w:jc w:val="left"/>
        <w:rPr>
          <w:rFonts w:eastAsia="仿宋"/>
          <w:b/>
          <w:bCs/>
          <w:color w:val="000000" w:themeColor="text1"/>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采购标的清单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4349"/>
        <w:gridCol w:w="2836"/>
      </w:tblGrid>
      <w:tr w14:paraId="0CF6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37" w:type="dxa"/>
            <w:vAlign w:val="center"/>
          </w:tcPr>
          <w:p w14:paraId="493444A4">
            <w:pPr>
              <w:spacing w:before="120" w:after="120" w:line="0" w:lineRule="atLeas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采购包</w:t>
            </w:r>
          </w:p>
        </w:tc>
        <w:tc>
          <w:tcPr>
            <w:tcW w:w="4349" w:type="dxa"/>
            <w:vAlign w:val="center"/>
          </w:tcPr>
          <w:p w14:paraId="151FFC2D">
            <w:pPr>
              <w:spacing w:before="120" w:after="120" w:line="0" w:lineRule="atLeas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采购标的</w:t>
            </w:r>
          </w:p>
        </w:tc>
        <w:tc>
          <w:tcPr>
            <w:tcW w:w="2836" w:type="dxa"/>
            <w:vAlign w:val="center"/>
          </w:tcPr>
          <w:p w14:paraId="14B27CEA">
            <w:pPr>
              <w:spacing w:before="120" w:after="120" w:line="0" w:lineRule="atLeas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对应中小企业划分标准所属行业</w:t>
            </w:r>
          </w:p>
        </w:tc>
      </w:tr>
      <w:tr w14:paraId="779E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37" w:type="dxa"/>
            <w:vAlign w:val="center"/>
          </w:tcPr>
          <w:p w14:paraId="0382633D">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349" w:type="dxa"/>
            <w:vAlign w:val="center"/>
          </w:tcPr>
          <w:p w14:paraId="79F324F0">
            <w:pPr>
              <w:spacing w:before="120" w:after="120" w:line="0" w:lineRule="atLeast"/>
              <w:jc w:val="center"/>
              <w:rPr>
                <w:rFonts w:hint="default" w:ascii="仿宋" w:hAnsi="仿宋" w:eastAsia="仿宋" w:cs="仿宋"/>
                <w:color w:val="000000" w:themeColor="text1"/>
                <w:sz w:val="24"/>
                <w:highlight w:val="none"/>
                <w:lang w:val="en-US"/>
                <w14:textFill>
                  <w14:solidFill>
                    <w14:schemeClr w14:val="tx1"/>
                  </w14:solidFill>
                </w14:textFill>
              </w:rPr>
            </w:pPr>
            <w:bookmarkStart w:id="4" w:name="_GoBack"/>
            <w:r>
              <w:rPr>
                <w:rStyle w:val="13"/>
                <w:rFonts w:hint="eastAsia" w:ascii="仿宋" w:hAnsi="仿宋" w:eastAsia="仿宋" w:cs="仿宋"/>
                <w:b w:val="0"/>
                <w:bCs w:val="0"/>
                <w:sz w:val="24"/>
                <w:highlight w:val="none"/>
                <w:lang w:val="en-US" w:eastAsia="zh-CN"/>
              </w:rPr>
              <w:t>泗洪县2025年土地征收成片开发调整方案编制单位采购项目</w:t>
            </w:r>
            <w:bookmarkEnd w:id="4"/>
          </w:p>
        </w:tc>
        <w:tc>
          <w:tcPr>
            <w:tcW w:w="2836" w:type="dxa"/>
            <w:vAlign w:val="center"/>
          </w:tcPr>
          <w:p w14:paraId="67DFCB38">
            <w:pPr>
              <w:spacing w:before="120" w:after="120" w:line="0" w:lineRule="atLeas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其他未列明行业</w:t>
            </w:r>
          </w:p>
        </w:tc>
      </w:tr>
    </w:tbl>
    <w:p w14:paraId="3A2F8221">
      <w:pPr>
        <w:tabs>
          <w:tab w:val="left" w:pos="420"/>
          <w:tab w:val="left" w:pos="540"/>
        </w:tabs>
        <w:overflowPunct w:val="0"/>
        <w:spacing w:line="360" w:lineRule="auto"/>
        <w:ind w:firstLine="241" w:firstLineChars="1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一、项目概况及要求</w:t>
      </w:r>
    </w:p>
    <w:p w14:paraId="5BCAC6AA">
      <w:pPr>
        <w:spacing w:line="360" w:lineRule="auto"/>
        <w:ind w:firstLine="482" w:firstLineChars="200"/>
        <w:rPr>
          <w:rStyle w:val="13"/>
          <w:rFonts w:hint="eastAsia" w:ascii="仿宋" w:hAnsi="仿宋" w:eastAsia="仿宋" w:cs="仿宋"/>
          <w:b w:val="0"/>
          <w:bCs w:val="0"/>
          <w:sz w:val="24"/>
          <w:highlight w:val="none"/>
          <w:lang w:val="en-US" w:eastAsia="zh-CN"/>
        </w:rPr>
      </w:pPr>
      <w:r>
        <w:rPr>
          <w:rFonts w:hint="eastAsia" w:ascii="仿宋" w:hAnsi="仿宋" w:eastAsia="仿宋" w:cs="仿宋"/>
          <w:b/>
          <w:bCs/>
          <w:color w:val="000000" w:themeColor="text1"/>
          <w:sz w:val="24"/>
          <w:highlight w:val="none"/>
          <w14:textFill>
            <w14:solidFill>
              <w14:schemeClr w14:val="tx1"/>
            </w14:solidFill>
          </w14:textFill>
        </w:rPr>
        <w:t>（一）、项目名称</w:t>
      </w:r>
      <w:r>
        <w:rPr>
          <w:rFonts w:hint="eastAsia" w:ascii="仿宋" w:hAnsi="仿宋" w:eastAsia="仿宋" w:cs="仿宋"/>
          <w:color w:val="000000" w:themeColor="text1"/>
          <w:sz w:val="24"/>
          <w:highlight w:val="none"/>
          <w14:textFill>
            <w14:solidFill>
              <w14:schemeClr w14:val="tx1"/>
            </w14:solidFill>
          </w14:textFill>
        </w:rPr>
        <w:t>：</w:t>
      </w:r>
      <w:r>
        <w:rPr>
          <w:rStyle w:val="13"/>
          <w:rFonts w:hint="eastAsia" w:ascii="仿宋" w:hAnsi="仿宋" w:eastAsia="仿宋" w:cs="仿宋"/>
          <w:b w:val="0"/>
          <w:bCs w:val="0"/>
          <w:sz w:val="24"/>
          <w:highlight w:val="none"/>
          <w:lang w:val="en-US" w:eastAsia="zh-CN"/>
        </w:rPr>
        <w:t>泗洪县2025年土地征收成片开发调整方案编制单位采购项目</w:t>
      </w:r>
    </w:p>
    <w:p w14:paraId="6D499583">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（二）、项目地点</w:t>
      </w:r>
      <w:r>
        <w:rPr>
          <w:rFonts w:hint="eastAsia" w:ascii="仿宋" w:hAnsi="仿宋" w:eastAsia="仿宋" w:cs="仿宋"/>
          <w:color w:val="000000" w:themeColor="text1"/>
          <w:sz w:val="24"/>
          <w:highlight w:val="none"/>
          <w14:textFill>
            <w14:solidFill>
              <w14:schemeClr w14:val="tx1"/>
            </w14:solidFill>
          </w14:textFill>
        </w:rPr>
        <w:t>：采购人指定地点</w:t>
      </w:r>
    </w:p>
    <w:p w14:paraId="19F10188">
      <w:pPr>
        <w:spacing w:line="500" w:lineRule="exact"/>
        <w:ind w:firstLine="482" w:firstLineChars="200"/>
        <w:rPr>
          <w:rStyle w:val="13"/>
          <w:rFonts w:hint="eastAsia" w:ascii="仿宋" w:hAnsi="仿宋" w:eastAsia="仿宋" w:cs="仿宋"/>
          <w:b w:val="0"/>
          <w:bCs w:val="0"/>
          <w:sz w:val="24"/>
          <w:highlight w:val="none"/>
          <w:lang w:val="en-US" w:eastAsia="zh-CN"/>
        </w:rPr>
      </w:pPr>
      <w:r>
        <w:rPr>
          <w:rFonts w:hint="eastAsia" w:ascii="仿宋" w:hAnsi="仿宋" w:eastAsia="仿宋" w:cs="仿宋"/>
          <w:b/>
          <w:bCs/>
          <w:color w:val="000000" w:themeColor="text1"/>
          <w:sz w:val="24"/>
          <w:highlight w:val="none"/>
          <w14:textFill>
            <w14:solidFill>
              <w14:schemeClr w14:val="tx1"/>
            </w14:solidFill>
          </w14:textFill>
        </w:rPr>
        <w:t>（三）、合同履行期限：</w:t>
      </w:r>
      <w:r>
        <w:rPr>
          <w:rFonts w:hint="eastAsia" w:ascii="仿宋" w:hAnsi="仿宋" w:eastAsia="仿宋" w:cs="仿宋"/>
          <w:color w:val="auto"/>
          <w:sz w:val="24"/>
          <w:szCs w:val="24"/>
          <w:highlight w:val="none"/>
          <w:lang w:val="en-US" w:eastAsia="zh-CN"/>
        </w:rPr>
        <w:t>自合同签订之日起120日历天内完成。（合同履行期间的相关时间节点，以双方协商且满足省、市对此次土地征收成片开发调整方案编制的时间安排为准。）</w:t>
      </w:r>
    </w:p>
    <w:p w14:paraId="572853A8">
      <w:pPr>
        <w:spacing w:line="360" w:lineRule="auto"/>
        <w:ind w:firstLine="480"/>
        <w:rPr>
          <w:rFonts w:ascii="仿宋" w:hAnsi="仿宋" w:eastAsia="仿宋" w:cs="仿宋"/>
          <w:color w:val="000000" w:themeColor="text1"/>
          <w:sz w:val="24"/>
          <w:highlight w:val="none"/>
          <w14:textFill>
            <w14:solidFill>
              <w14:schemeClr w14:val="tx1"/>
            </w14:solidFill>
          </w14:textFill>
        </w:rPr>
      </w:pPr>
      <w:r>
        <w:rPr>
          <w:rStyle w:val="13"/>
          <w:rFonts w:hint="eastAsia" w:ascii="仿宋" w:hAnsi="仿宋" w:eastAsia="仿宋" w:cs="仿宋"/>
          <w:color w:val="000000" w:themeColor="text1"/>
          <w:sz w:val="24"/>
          <w:highlight w:val="none"/>
          <w14:textFill>
            <w14:solidFill>
              <w14:schemeClr w14:val="tx1"/>
            </w14:solidFill>
          </w14:textFill>
        </w:rPr>
        <w:t>注：经甲方同意可以延长，如果甲方需要提前结束项目的，可以跟乙方协商变更编制工作进程，如因政策原因导致方案名称和年份发生变化，合同继续执行。</w:t>
      </w:r>
    </w:p>
    <w:p w14:paraId="45CDE3CA">
      <w:pPr>
        <w:spacing w:line="360" w:lineRule="auto"/>
        <w:ind w:firstLine="480"/>
        <w:rPr>
          <w:rStyle w:val="13"/>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（四）、付款方式：</w:t>
      </w:r>
      <w:bookmarkStart w:id="3" w:name="EB120ac03ab710494bb42e662066a04c8d"/>
      <w:r>
        <w:rPr>
          <w:rStyle w:val="13"/>
          <w:rFonts w:hint="eastAsia" w:ascii="仿宋" w:hAnsi="仿宋" w:eastAsia="仿宋" w:cs="仿宋"/>
          <w:color w:val="000000" w:themeColor="text1"/>
          <w:sz w:val="24"/>
          <w:highlight w:val="none"/>
          <w14:textFill>
            <w14:solidFill>
              <w14:schemeClr w14:val="tx1"/>
            </w14:solidFill>
          </w14:textFill>
        </w:rPr>
        <w:t xml:space="preserve"> </w:t>
      </w:r>
      <w:r>
        <w:rPr>
          <w:rStyle w:val="13"/>
          <w:rFonts w:hint="eastAsia" w:ascii="仿宋" w:hAnsi="仿宋" w:eastAsia="仿宋" w:cs="仿宋"/>
          <w:color w:val="000000" w:themeColor="text1"/>
          <w:sz w:val="24"/>
          <w:highlight w:val="none"/>
          <w:lang w:val="en-US" w:eastAsia="zh-CN"/>
          <w14:textFill>
            <w14:solidFill>
              <w14:schemeClr w14:val="tx1"/>
            </w14:solidFill>
          </w14:textFill>
        </w:rPr>
        <w:t>按照以下确定的付款方式，采购人及时办理付款手续。对于满足合同约定支付条件的，自收到发票后10个工作日内将资金支付到合同约定的供应商账户或供应商数字人民币账户。</w:t>
      </w:r>
    </w:p>
    <w:p w14:paraId="7EA90669">
      <w:pPr>
        <w:spacing w:line="360" w:lineRule="auto"/>
        <w:ind w:firstLine="480"/>
        <w:rPr>
          <w:rStyle w:val="13"/>
          <w:rFonts w:hint="eastAsia" w:ascii="仿宋" w:hAnsi="仿宋" w:eastAsia="仿宋" w:cs="仿宋"/>
          <w:color w:val="000000" w:themeColor="text1"/>
          <w:sz w:val="24"/>
          <w:highlight w:val="none"/>
          <w:lang w:val="en-US" w:eastAsia="zh-CN"/>
          <w14:textFill>
            <w14:solidFill>
              <w14:schemeClr w14:val="tx1"/>
            </w14:solidFill>
          </w14:textFill>
        </w:rPr>
      </w:pPr>
      <w:r>
        <w:rPr>
          <w:rStyle w:val="13"/>
          <w:rFonts w:hint="eastAsia" w:ascii="仿宋" w:hAnsi="仿宋" w:eastAsia="仿宋" w:cs="仿宋"/>
          <w:color w:val="000000" w:themeColor="text1"/>
          <w:sz w:val="24"/>
          <w:highlight w:val="none"/>
          <w:lang w:val="en-US" w:eastAsia="zh-CN"/>
          <w14:textFill>
            <w14:solidFill>
              <w14:schemeClr w14:val="tx1"/>
            </w14:solidFill>
          </w14:textFill>
        </w:rPr>
        <w:t>预付款：合同金额的 10 %，合同签订后按规定支付；</w:t>
      </w:r>
    </w:p>
    <w:p w14:paraId="0577545E">
      <w:pPr>
        <w:spacing w:line="360" w:lineRule="auto"/>
        <w:ind w:firstLine="480"/>
        <w:rPr>
          <w:rStyle w:val="13"/>
          <w:rFonts w:ascii="仿宋" w:hAnsi="仿宋" w:eastAsia="仿宋" w:cs="仿宋"/>
          <w:b/>
          <w:bCs/>
          <w:color w:val="000000" w:themeColor="text1"/>
          <w:sz w:val="24"/>
          <w:highlight w:val="none"/>
          <w14:textFill>
            <w14:solidFill>
              <w14:schemeClr w14:val="tx1"/>
            </w14:solidFill>
          </w14:textFill>
        </w:rPr>
      </w:pPr>
      <w:r>
        <w:rPr>
          <w:rStyle w:val="13"/>
          <w:rFonts w:hint="eastAsia" w:ascii="仿宋" w:hAnsi="仿宋" w:eastAsia="仿宋" w:cs="仿宋"/>
          <w:color w:val="000000" w:themeColor="text1"/>
          <w:sz w:val="24"/>
          <w:highlight w:val="none"/>
          <w:lang w:val="en-US" w:eastAsia="zh-CN"/>
          <w14:textFill>
            <w14:solidFill>
              <w14:schemeClr w14:val="tx1"/>
            </w14:solidFill>
          </w14:textFill>
        </w:rPr>
        <w:t>进度款：</w:t>
      </w:r>
      <w:r>
        <w:rPr>
          <w:rStyle w:val="13"/>
          <w:rFonts w:hint="eastAsia" w:ascii="仿宋" w:hAnsi="仿宋" w:eastAsia="仿宋" w:cs="仿宋"/>
          <w:b/>
          <w:bCs/>
          <w:color w:val="000000" w:themeColor="text1"/>
          <w:sz w:val="24"/>
          <w:highlight w:val="none"/>
          <w:lang w:val="en-US" w:eastAsia="zh-CN"/>
          <w14:textFill>
            <w14:solidFill>
              <w14:schemeClr w14:val="tx1"/>
            </w14:solidFill>
          </w14:textFill>
        </w:rPr>
        <w:t>最终方案成果通过最终审批获得批复并完成省厅备案后，一次性付清余款</w:t>
      </w:r>
      <w:r>
        <w:rPr>
          <w:rFonts w:hint="eastAsia" w:ascii="仿宋" w:hAnsi="仿宋" w:eastAsia="仿宋" w:cs="仿宋"/>
          <w:b/>
          <w:bCs/>
          <w:color w:val="000000" w:themeColor="text1"/>
          <w:sz w:val="24"/>
          <w:highlight w:val="none"/>
          <w14:textFill>
            <w14:solidFill>
              <w14:schemeClr w14:val="tx1"/>
            </w14:solidFill>
          </w14:textFill>
        </w:rPr>
        <w:t>（无息）。</w:t>
      </w:r>
    </w:p>
    <w:p w14:paraId="22BE580D">
      <w:pPr>
        <w:pStyle w:val="12"/>
        <w:spacing w:line="360" w:lineRule="auto"/>
        <w:ind w:firstLine="482"/>
        <w:jc w:val="left"/>
        <w:rPr>
          <w:rStyle w:val="13"/>
          <w:rFonts w:ascii="仿宋" w:hAnsi="仿宋" w:eastAsia="仿宋" w:cs="仿宋"/>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w:t>
      </w:r>
      <w:r>
        <w:rPr>
          <w:rStyle w:val="13"/>
          <w:rFonts w:hint="eastAsia" w:ascii="仿宋" w:hAnsi="仿宋" w:eastAsia="仿宋" w:cs="仿宋"/>
          <w:color w:val="000000" w:themeColor="text1"/>
          <w:sz w:val="24"/>
          <w:highlight w:val="none"/>
          <w14:textFill>
            <w14:solidFill>
              <w14:schemeClr w14:val="tx1"/>
            </w14:solidFill>
          </w14:textFill>
        </w:rPr>
        <w:t>1.在签订合同时，中标人明确表示无需预付款或者主动要求降低预付款比例的金额，采购人可不适用预付款规定。</w:t>
      </w:r>
    </w:p>
    <w:p w14:paraId="23B251E0">
      <w:pPr>
        <w:pStyle w:val="12"/>
        <w:spacing w:line="360" w:lineRule="auto"/>
        <w:ind w:firstLine="482"/>
        <w:jc w:val="left"/>
        <w:rPr>
          <w:rStyle w:val="13"/>
          <w:rFonts w:ascii="仿宋" w:hAnsi="仿宋" w:eastAsia="仿宋" w:cs="仿宋"/>
          <w:color w:val="000000" w:themeColor="text1"/>
          <w:sz w:val="24"/>
          <w:highlight w:val="none"/>
          <w14:textFill>
            <w14:solidFill>
              <w14:schemeClr w14:val="tx1"/>
            </w14:solidFill>
          </w14:textFill>
        </w:rPr>
      </w:pPr>
      <w:r>
        <w:rPr>
          <w:rStyle w:val="13"/>
          <w:rFonts w:hint="eastAsia" w:ascii="仿宋" w:hAnsi="仿宋" w:eastAsia="仿宋" w:cs="仿宋"/>
          <w:color w:val="000000" w:themeColor="text1"/>
          <w:sz w:val="24"/>
          <w:highlight w:val="none"/>
          <w14:textFill>
            <w14:solidFill>
              <w14:schemeClr w14:val="tx1"/>
            </w14:solidFill>
          </w14:textFill>
        </w:rPr>
        <w:t>2.本项目最终根据中标单价*实际完成</w:t>
      </w:r>
      <w:r>
        <w:rPr>
          <w:rStyle w:val="13"/>
          <w:rFonts w:hint="eastAsia" w:ascii="仿宋" w:hAnsi="仿宋" w:eastAsia="仿宋" w:cs="仿宋"/>
          <w:color w:val="000000" w:themeColor="text1"/>
          <w:sz w:val="24"/>
          <w:highlight w:val="none"/>
          <w:lang w:val="en-US"/>
          <w14:textFill>
            <w14:solidFill>
              <w14:schemeClr w14:val="tx1"/>
            </w14:solidFill>
          </w14:textFill>
        </w:rPr>
        <w:t>片区</w:t>
      </w:r>
      <w:r>
        <w:rPr>
          <w:rStyle w:val="13"/>
          <w:rFonts w:hint="eastAsia" w:ascii="仿宋" w:hAnsi="仿宋" w:eastAsia="仿宋" w:cs="仿宋"/>
          <w:color w:val="000000" w:themeColor="text1"/>
          <w:sz w:val="24"/>
          <w:highlight w:val="none"/>
          <w14:textFill>
            <w14:solidFill>
              <w14:schemeClr w14:val="tx1"/>
            </w14:solidFill>
          </w14:textFill>
        </w:rPr>
        <w:t>数量并结合考核结果进行支付。</w:t>
      </w:r>
    </w:p>
    <w:p w14:paraId="675C6800">
      <w:pPr>
        <w:spacing w:line="360" w:lineRule="auto"/>
        <w:ind w:firstLine="480"/>
        <w:rPr>
          <w:rFonts w:ascii="仿宋_GB2312" w:hAnsi="仿宋_GB2312" w:eastAsia="仿宋_GB2312" w:cs="仿宋_GB2312"/>
          <w:color w:val="000000" w:themeColor="text1"/>
          <w:sz w:val="24"/>
          <w:highlight w:val="none"/>
          <w14:textFill>
            <w14:solidFill>
              <w14:schemeClr w14:val="tx1"/>
            </w14:solidFill>
          </w14:textFill>
        </w:rPr>
      </w:pPr>
      <w:r>
        <w:rPr>
          <w:rStyle w:val="13"/>
          <w:rFonts w:hint="eastAsia" w:ascii="仿宋" w:hAnsi="仿宋" w:eastAsia="仿宋" w:cs="仿宋"/>
          <w:color w:val="000000" w:themeColor="text1"/>
          <w:sz w:val="24"/>
          <w:highlight w:val="none"/>
          <w14:textFill>
            <w14:solidFill>
              <w14:schemeClr w14:val="tx1"/>
            </w14:solidFill>
          </w14:textFill>
        </w:rPr>
        <w:t>3.合同款可以采用数字人民币方式进行支付。</w:t>
      </w:r>
    </w:p>
    <w:p w14:paraId="00001C7C">
      <w:pPr>
        <w:spacing w:line="50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4.乙方未按要求提供符合要求的发票的，甲方有权暂停付款，且不免除乙方继续履行合同约定的义务。</w:t>
      </w:r>
      <w:bookmarkEnd w:id="3"/>
    </w:p>
    <w:p w14:paraId="4399A539">
      <w:pPr>
        <w:pStyle w:val="12"/>
        <w:keepNext w:val="0"/>
        <w:keepLines w:val="0"/>
        <w:pageBreakBefore w:val="0"/>
        <w:widowControl w:val="0"/>
        <w:numPr>
          <w:ilvl w:val="0"/>
          <w:numId w:val="0"/>
        </w:numPr>
        <w:spacing w:line="480" w:lineRule="exact"/>
        <w:ind w:left="420" w:leftChars="0"/>
        <w:jc w:val="left"/>
        <w:rPr>
          <w:rStyle w:val="13"/>
          <w:rFonts w:hint="eastAsia" w:ascii="仿宋" w:hAnsi="仿宋" w:eastAsia="仿宋" w:cs="仿宋"/>
          <w:b/>
          <w:bCs/>
          <w:sz w:val="24"/>
          <w:highlight w:val="none"/>
          <w:lang w:val="en-US" w:eastAsia="zh-CN"/>
        </w:rPr>
      </w:pPr>
      <w:r>
        <w:rPr>
          <w:rStyle w:val="13"/>
          <w:rFonts w:hint="eastAsia" w:ascii="仿宋" w:hAnsi="仿宋" w:eastAsia="仿宋" w:cs="仿宋"/>
          <w:b/>
          <w:bCs/>
          <w:sz w:val="24"/>
          <w:highlight w:val="none"/>
          <w:lang w:val="en-US" w:eastAsia="zh-CN"/>
        </w:rPr>
        <w:t>二、工作内容及要求（包含但不限于）</w:t>
      </w:r>
    </w:p>
    <w:p w14:paraId="6B152DBD">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（一）工作内容</w:t>
      </w:r>
    </w:p>
    <w:p w14:paraId="5376C292">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依据国民经济和社会发展规划、国土空间规划（土地利用总体规划和城乡规划）编制土地征收成片开发方案，纳入当地国民经济和社会发展年度计划。成片开发方案应包括以下内容:</w:t>
      </w:r>
    </w:p>
    <w:p w14:paraId="28D5B9CC">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1、成片开发的位置、面积、范围和基础设施条件等基本情况。土地征收成片开发方案可包括一个或多个依据国土空间规划（土地利用总体规划和城乡规划）确定的完整的土地征收成片开发范围（以下简称开发片区）。开发片区的划分应充分考虑自然条件，以具体的地形和地物为边界，尽量集中连片，相对完整。开发片区不得相互重叠。</w:t>
      </w:r>
    </w:p>
    <w:p w14:paraId="6ED7933C">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2、成片开发的必要性、主要用途和实现的功能。</w:t>
      </w:r>
    </w:p>
    <w:p w14:paraId="16293EDF">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3、成片开发拟安排的建设项目、开发时序和年度实施计划。实施期限原则上不超过5年，其中应包括土地征收实施的年度计划。</w:t>
      </w:r>
    </w:p>
    <w:p w14:paraId="2A2B9B1A">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4、单个开发片区范围内基础设施、公共服务设施以及其他公益性用地的比例，一般不低于40%</w:t>
      </w:r>
      <w:r>
        <w:rPr>
          <w:rStyle w:val="13"/>
          <w:rFonts w:hint="eastAsia" w:ascii="仿宋" w:hAnsi="仿宋" w:eastAsia="仿宋" w:cs="仿宋"/>
          <w:color w:val="auto"/>
          <w:sz w:val="24"/>
          <w:highlight w:val="none"/>
        </w:rPr>
        <w:t>（工业主导型片区公益性用地比例不低于25%）</w:t>
      </w:r>
      <w:r>
        <w:rPr>
          <w:rStyle w:val="13"/>
          <w:rFonts w:hint="eastAsia" w:ascii="仿宋" w:hAnsi="仿宋" w:eastAsia="仿宋" w:cs="仿宋"/>
          <w:b w:val="0"/>
          <w:bCs w:val="0"/>
          <w:sz w:val="24"/>
          <w:highlight w:val="none"/>
          <w:lang w:val="en-US" w:eastAsia="zh-CN"/>
        </w:rPr>
        <w:t>。</w:t>
      </w:r>
    </w:p>
    <w:p w14:paraId="07D2DE52">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5、成片开发的土地利用效益以及经济、社会、生态效益评估。方案要高度重视节约集约用地和土地利用效益提升，开展经济建设、社会发展、生态环境等多方面的效益评估，做好资金平衡预算，积极支持耕地及永久基本农田保护和被征地农民的生产生活保障。</w:t>
      </w:r>
    </w:p>
    <w:p w14:paraId="5E15FC88">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6、工作内容涉及：（1）、资料收集及矢量数据基础分析；（2）、片区划定及修改；（3）、底图制作；（4）、外业踏勘工作；（5）、征求意见等附件材料工作；（6）、勘测定界工作；（7）、数据库建库及修改质检；（8）、方案文本制作；（9）、方案专家评审；（10）、成果备案；（11）、区域内群众意愿调查等。</w:t>
      </w:r>
    </w:p>
    <w:p w14:paraId="67A80219">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（二）工作要求</w:t>
      </w:r>
    </w:p>
    <w:p w14:paraId="20F1E342">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1、土地征收成片开发方案编制必须符合自然资源部和江苏省自然资源厅有关规范、规程和相关技术文件要求。</w:t>
      </w:r>
    </w:p>
    <w:p w14:paraId="02ACE561">
      <w:pPr>
        <w:pStyle w:val="12"/>
        <w:keepNext w:val="0"/>
        <w:keepLines w:val="0"/>
        <w:pageBreakBefore w:val="0"/>
        <w:widowControl w:val="0"/>
        <w:spacing w:line="480" w:lineRule="exact"/>
        <w:ind w:firstLine="482"/>
        <w:jc w:val="left"/>
        <w:rPr>
          <w:rStyle w:val="13"/>
          <w:rFonts w:hint="default"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2、供应商需每周上报工作进度，建立项目实施进度台账，便于采购人开展绩效跟踪监控。</w:t>
      </w:r>
    </w:p>
    <w:p w14:paraId="10C46DB8">
      <w:pPr>
        <w:pStyle w:val="12"/>
        <w:keepNext w:val="0"/>
        <w:keepLines w:val="0"/>
        <w:pageBreakBefore w:val="0"/>
        <w:widowControl w:val="0"/>
        <w:spacing w:line="480" w:lineRule="exact"/>
        <w:ind w:firstLine="482"/>
        <w:jc w:val="left"/>
        <w:rPr>
          <w:rStyle w:val="13"/>
          <w:rFonts w:hint="eastAsia" w:ascii="仿宋" w:hAnsi="仿宋" w:eastAsia="仿宋" w:cs="仿宋"/>
          <w:b/>
          <w:bCs/>
          <w:sz w:val="24"/>
          <w:highlight w:val="none"/>
          <w:lang w:val="en-US" w:eastAsia="zh-CN"/>
        </w:rPr>
      </w:pPr>
      <w:r>
        <w:rPr>
          <w:rStyle w:val="13"/>
          <w:rFonts w:hint="eastAsia" w:ascii="仿宋" w:hAnsi="仿宋" w:eastAsia="仿宋" w:cs="仿宋"/>
          <w:b/>
          <w:bCs/>
          <w:sz w:val="24"/>
          <w:highlight w:val="none"/>
          <w:lang w:val="en-US" w:eastAsia="zh-CN"/>
        </w:rPr>
        <w:t>三、工作依据</w:t>
      </w:r>
    </w:p>
    <w:p w14:paraId="71086BB0">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1、《江苏省自然资源厅关于做好当前土地征收前期工作的通知》（苏自然资函〔2020〕442号）；</w:t>
      </w:r>
    </w:p>
    <w:p w14:paraId="6AC6D4AD">
      <w:pPr>
        <w:pStyle w:val="12"/>
        <w:keepNext w:val="0"/>
        <w:keepLines w:val="0"/>
        <w:pageBreakBefore w:val="0"/>
        <w:widowControl w:val="0"/>
        <w:spacing w:line="480" w:lineRule="exact"/>
        <w:ind w:firstLine="480" w:firstLineChars="200"/>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2、《江苏省自然资源厅关于开展土地征收成片开发方案编制工作的通知》（苏自然资函〔2021〕15号）；</w:t>
      </w:r>
    </w:p>
    <w:p w14:paraId="1890380E">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3、《江苏省自然资源厅关于加快推进土地征收成片开发方案编制工作的通知》（苏自然资发〔2021〕138号）；</w:t>
      </w:r>
    </w:p>
    <w:p w14:paraId="155EF96F">
      <w:pPr>
        <w:pStyle w:val="12"/>
        <w:keepNext w:val="0"/>
        <w:keepLines w:val="0"/>
        <w:pageBreakBefore w:val="0"/>
        <w:widowControl w:val="0"/>
        <w:spacing w:line="480" w:lineRule="exact"/>
        <w:ind w:firstLine="480" w:firstLineChars="200"/>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4、《江苏省自然资源厅关于印发&lt;江苏省土地征收成片开发方案编制指南（试行）&gt;&lt;江苏省土地征收成片开发方案审查要点&gt;的通知》（苏自然资发〔2021〕1028号）；</w:t>
      </w:r>
    </w:p>
    <w:p w14:paraId="2A0702AB">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5、《自然资源部关于印发＜土地征收成片开发标准＞的通知》（自然资规〔2023〕7号）；</w:t>
      </w:r>
    </w:p>
    <w:p w14:paraId="132FFD23">
      <w:pPr>
        <w:pStyle w:val="12"/>
        <w:keepNext w:val="0"/>
        <w:keepLines w:val="0"/>
        <w:pageBreakBefore w:val="0"/>
        <w:widowControl w:val="0"/>
        <w:spacing w:line="480" w:lineRule="exact"/>
        <w:ind w:firstLine="480" w:firstLineChars="200"/>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6、《江苏省自然资源厅关于印发&lt;江苏省2024年国家自然资源督查整改工作方案&gt;的通知》（苏自然资函〔2024〕730号）；</w:t>
      </w:r>
    </w:p>
    <w:p w14:paraId="260C0549">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7、《江苏省自然资源厅关于深入推进土地征收成片开发方案编制工作的通知》（苏自然资函〔2024〕939号）；</w:t>
      </w:r>
    </w:p>
    <w:p w14:paraId="5A17570D">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8、其他相关的法律法规和政策规定。；</w:t>
      </w:r>
    </w:p>
    <w:p w14:paraId="70960E01">
      <w:pPr>
        <w:pStyle w:val="12"/>
        <w:keepNext w:val="0"/>
        <w:keepLines w:val="0"/>
        <w:pageBreakBefore w:val="0"/>
        <w:widowControl w:val="0"/>
        <w:spacing w:line="480" w:lineRule="exact"/>
        <w:jc w:val="left"/>
        <w:rPr>
          <w:rStyle w:val="13"/>
          <w:rFonts w:hint="eastAsia" w:ascii="仿宋" w:hAnsi="仿宋" w:eastAsia="仿宋" w:cs="仿宋"/>
          <w:b/>
          <w:bCs/>
          <w:sz w:val="24"/>
          <w:highlight w:val="none"/>
          <w:lang w:val="en-US" w:eastAsia="zh-CN"/>
        </w:rPr>
      </w:pPr>
      <w:r>
        <w:rPr>
          <w:rStyle w:val="13"/>
          <w:rFonts w:hint="eastAsia" w:ascii="仿宋" w:hAnsi="仿宋" w:eastAsia="仿宋" w:cs="仿宋"/>
          <w:b/>
          <w:bCs/>
          <w:sz w:val="24"/>
          <w:highlight w:val="none"/>
          <w:lang w:val="en-US" w:eastAsia="zh-CN"/>
        </w:rPr>
        <w:t>四、成果要求：合格</w:t>
      </w:r>
    </w:p>
    <w:p w14:paraId="1FC2B491">
      <w:pPr>
        <w:pStyle w:val="12"/>
        <w:keepNext w:val="0"/>
        <w:keepLines w:val="0"/>
        <w:pageBreakBefore w:val="0"/>
        <w:widowControl w:val="0"/>
        <w:spacing w:line="480" w:lineRule="exact"/>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bCs/>
          <w:sz w:val="24"/>
          <w:highlight w:val="none"/>
          <w:lang w:val="en-US" w:eastAsia="zh-CN"/>
        </w:rPr>
        <w:t xml:space="preserve">   具体要求如下（包括但不限于）：</w:t>
      </w:r>
    </w:p>
    <w:p w14:paraId="3BB58F78">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 xml:space="preserve">方案文本：包括成片开发必要性、用途和功能，片区信息，方案编制情况及公益用地情况，效益评估等（具体文本数量按照采购人要求提供）； </w:t>
      </w:r>
    </w:p>
    <w:p w14:paraId="484FD7FA">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图件：方案中涉及的土地利用现状图、土地利用总体规划、城市总体规划、城市详细规划的规划图件（局部），成片开发相关规划图件（具体图件数量按照采购人要求提供）；</w:t>
      </w:r>
    </w:p>
    <w:p w14:paraId="74F36BDE">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相关附件材料：县人民政府请示文件（含成片开发方案）；集体经济组织的出具同意征收的有关证明；征求意见情况说明（含人大代表、政协委员、社会公众和有关专家学者等）。（具体材料份数按照采购人要求提供）；</w:t>
      </w:r>
    </w:p>
    <w:p w14:paraId="1AD1CC0F">
      <w:pPr>
        <w:pStyle w:val="12"/>
        <w:keepNext w:val="0"/>
        <w:keepLines w:val="0"/>
        <w:pageBreakBefore w:val="0"/>
        <w:widowControl w:val="0"/>
        <w:numPr>
          <w:ilvl w:val="0"/>
          <w:numId w:val="0"/>
        </w:numPr>
        <w:spacing w:line="480" w:lineRule="exact"/>
        <w:jc w:val="left"/>
        <w:rPr>
          <w:rStyle w:val="13"/>
          <w:rFonts w:hint="eastAsia" w:ascii="仿宋" w:hAnsi="仿宋" w:eastAsia="仿宋" w:cs="仿宋"/>
          <w:b/>
          <w:bCs/>
          <w:sz w:val="24"/>
          <w:highlight w:val="none"/>
          <w:lang w:val="en-US" w:eastAsia="zh-CN"/>
        </w:rPr>
      </w:pPr>
      <w:r>
        <w:rPr>
          <w:rStyle w:val="13"/>
          <w:rFonts w:hint="eastAsia" w:ascii="仿宋" w:hAnsi="仿宋" w:eastAsia="仿宋" w:cs="仿宋"/>
          <w:b/>
          <w:bCs/>
          <w:sz w:val="24"/>
          <w:highlight w:val="none"/>
          <w:lang w:val="en-US" w:eastAsia="zh-CN"/>
        </w:rPr>
        <w:t>五．技术服务质量要求</w:t>
      </w:r>
    </w:p>
    <w:p w14:paraId="1509A64C">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按照省市的相关要求，结合泗洪县实际情况，完成泗洪县2025年土地征收成片开发调整方案编制。按照合理的项目进度，保质保量将成果提交宿迁市自然资源和规划局与江苏省自然资源厅，确保通过审查论证，并按规定上报宿迁市人民政府审批。方案成果须通过上级自然资源部门组织的专家评审，确保获得省、市批复文件。</w:t>
      </w:r>
    </w:p>
    <w:p w14:paraId="173BA8B4">
      <w:pPr>
        <w:pStyle w:val="12"/>
        <w:keepNext w:val="0"/>
        <w:keepLines w:val="0"/>
        <w:pageBreakBefore w:val="0"/>
        <w:widowControl w:val="0"/>
        <w:spacing w:line="480" w:lineRule="exact"/>
        <w:jc w:val="left"/>
        <w:rPr>
          <w:rStyle w:val="13"/>
          <w:rFonts w:hint="eastAsia" w:ascii="仿宋" w:hAnsi="仿宋" w:eastAsia="仿宋" w:cs="仿宋"/>
          <w:b/>
          <w:bCs/>
          <w:sz w:val="24"/>
          <w:highlight w:val="none"/>
          <w:lang w:val="en-US" w:eastAsia="zh-CN"/>
        </w:rPr>
      </w:pPr>
      <w:r>
        <w:rPr>
          <w:rStyle w:val="13"/>
          <w:rFonts w:hint="eastAsia" w:ascii="仿宋" w:hAnsi="仿宋" w:eastAsia="仿宋" w:cs="仿宋"/>
          <w:b/>
          <w:bCs/>
          <w:sz w:val="24"/>
          <w:highlight w:val="none"/>
          <w:lang w:val="en-US" w:eastAsia="zh-CN"/>
        </w:rPr>
        <w:t>六、知识产权</w:t>
      </w:r>
    </w:p>
    <w:p w14:paraId="66F20F82">
      <w:pPr>
        <w:pStyle w:val="12"/>
        <w:keepNext w:val="0"/>
        <w:keepLines w:val="0"/>
        <w:pageBreakBefore w:val="0"/>
        <w:widowControl w:val="0"/>
        <w:spacing w:line="480" w:lineRule="exact"/>
        <w:ind w:firstLine="482"/>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val="0"/>
          <w:bCs w:val="0"/>
          <w:sz w:val="24"/>
          <w:highlight w:val="none"/>
          <w:lang w:val="en-US" w:eastAsia="zh-CN"/>
        </w:rPr>
        <w:t>招标人向中标人提供的全部资料及中标人生产的全部成果资料(包括中间资料)其版权归招标人所有,中标人不得自留使用或以任何方式转让或提供给第三方使用。</w:t>
      </w:r>
    </w:p>
    <w:p w14:paraId="3CF29793">
      <w:pPr>
        <w:pStyle w:val="12"/>
        <w:keepNext w:val="0"/>
        <w:keepLines w:val="0"/>
        <w:pageBreakBefore w:val="0"/>
        <w:widowControl w:val="0"/>
        <w:numPr>
          <w:ilvl w:val="0"/>
          <w:numId w:val="0"/>
        </w:numPr>
        <w:spacing w:line="480" w:lineRule="exact"/>
        <w:jc w:val="left"/>
        <w:rPr>
          <w:rStyle w:val="13"/>
          <w:rFonts w:hint="eastAsia" w:ascii="仿宋" w:hAnsi="仿宋" w:eastAsia="仿宋" w:cs="仿宋"/>
          <w:b w:val="0"/>
          <w:bCs w:val="0"/>
          <w:sz w:val="24"/>
          <w:highlight w:val="none"/>
          <w:lang w:val="en-US" w:eastAsia="zh-CN"/>
        </w:rPr>
      </w:pPr>
      <w:r>
        <w:rPr>
          <w:rStyle w:val="13"/>
          <w:rFonts w:hint="eastAsia" w:ascii="仿宋" w:hAnsi="仿宋" w:eastAsia="仿宋" w:cs="仿宋"/>
          <w:b/>
          <w:bCs/>
          <w:sz w:val="24"/>
          <w:highlight w:val="none"/>
          <w:lang w:val="en-US" w:eastAsia="zh-CN"/>
        </w:rPr>
        <w:t>七．质量要求</w:t>
      </w:r>
      <w:r>
        <w:rPr>
          <w:rStyle w:val="13"/>
          <w:rFonts w:hint="eastAsia" w:ascii="仿宋" w:hAnsi="仿宋" w:eastAsia="仿宋" w:cs="仿宋"/>
          <w:b w:val="0"/>
          <w:bCs w:val="0"/>
          <w:sz w:val="24"/>
          <w:highlight w:val="none"/>
          <w:lang w:val="en-US" w:eastAsia="zh-CN"/>
        </w:rPr>
        <w:t>：合格；根据泗洪县自然资源和规划局的进度要求，按期、保质、保量完成泗洪县2025年土地征收成片开发调整方案编制并以获得省、市批复文件为准。</w:t>
      </w:r>
    </w:p>
    <w:p w14:paraId="09A3B8B1">
      <w:pPr>
        <w:pStyle w:val="2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、验收标准及要求</w:t>
      </w:r>
    </w:p>
    <w:p w14:paraId="46D420CF">
      <w:pPr>
        <w:pStyle w:val="2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验收要求：本项目为服务类项目，</w:t>
      </w:r>
      <w:r>
        <w:rPr>
          <w:rFonts w:hint="eastAsia" w:ascii="仿宋" w:hAnsi="仿宋" w:eastAsia="仿宋" w:cs="仿宋"/>
          <w:color w:val="000000" w:themeColor="text1"/>
          <w:sz w:val="24"/>
          <w:szCs w:val="24"/>
          <w:highlight w:val="none"/>
          <w14:textFill>
            <w14:solidFill>
              <w14:schemeClr w14:val="tx1"/>
            </w14:solidFill>
          </w14:textFill>
        </w:rPr>
        <w:t>在满足基本要求的前提下，发挥自身优势，</w:t>
      </w:r>
      <w:r>
        <w:rPr>
          <w:rFonts w:hint="eastAsia" w:ascii="仿宋" w:hAnsi="仿宋" w:eastAsia="仿宋" w:cs="仿宋"/>
          <w:color w:val="000000" w:themeColor="text1"/>
          <w:sz w:val="24"/>
          <w:highlight w:val="none"/>
          <w14:textFill>
            <w14:solidFill>
              <w14:schemeClr w14:val="tx1"/>
            </w14:solidFill>
          </w14:textFill>
        </w:rPr>
        <w:t>由采购人根据项目需要决定是否进行组织验收，如需要可根据项目特点对服务期内的服务实施情况进行考核，结合考核情况和服务成果（服务成果最终以取得</w:t>
      </w:r>
      <w:r>
        <w:rPr>
          <w:rFonts w:hint="eastAsia" w:ascii="仿宋" w:hAnsi="仿宋" w:eastAsia="仿宋" w:cs="仿宋"/>
          <w:color w:val="000000" w:themeColor="text1"/>
          <w:sz w:val="24"/>
          <w:highlight w:val="none"/>
          <w:lang w:val="en-US" w:eastAsia="zh-CN"/>
          <w14:textFill>
            <w14:solidFill>
              <w14:schemeClr w14:val="tx1"/>
            </w14:solidFill>
          </w14:textFill>
        </w:rPr>
        <w:t>省、市</w:t>
      </w:r>
      <w:r>
        <w:rPr>
          <w:rFonts w:hint="eastAsia" w:ascii="仿宋" w:hAnsi="仿宋" w:eastAsia="仿宋" w:cs="仿宋"/>
          <w:color w:val="000000" w:themeColor="text1"/>
          <w:sz w:val="24"/>
          <w:highlight w:val="none"/>
          <w14:textFill>
            <w14:solidFill>
              <w14:schemeClr w14:val="tx1"/>
            </w14:solidFill>
          </w14:textFill>
        </w:rPr>
        <w:t>批复</w:t>
      </w:r>
      <w:r>
        <w:rPr>
          <w:rFonts w:hint="eastAsia" w:ascii="仿宋" w:hAnsi="仿宋" w:eastAsia="仿宋" w:cs="仿宋"/>
          <w:color w:val="000000" w:themeColor="text1"/>
          <w:sz w:val="24"/>
          <w:szCs w:val="24"/>
          <w:highlight w:val="none"/>
          <w14:textFill>
            <w14:solidFill>
              <w14:schemeClr w14:val="tx1"/>
            </w14:solidFill>
          </w14:textFill>
        </w:rPr>
        <w:t>文件</w:t>
      </w:r>
      <w:r>
        <w:rPr>
          <w:rFonts w:hint="eastAsia" w:ascii="仿宋" w:hAnsi="仿宋" w:eastAsia="仿宋" w:cs="仿宋"/>
          <w:color w:val="000000" w:themeColor="text1"/>
          <w:sz w:val="24"/>
          <w:highlight w:val="none"/>
          <w14:textFill>
            <w14:solidFill>
              <w14:schemeClr w14:val="tx1"/>
            </w14:solidFill>
          </w14:textFill>
        </w:rPr>
        <w:t>为依据进行验收评价。）进行验收。</w:t>
      </w:r>
    </w:p>
    <w:p w14:paraId="51AABDFD">
      <w:pPr>
        <w:pStyle w:val="2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验收标准：最终以取得</w:t>
      </w:r>
      <w:r>
        <w:rPr>
          <w:rFonts w:hint="eastAsia" w:ascii="仿宋" w:hAnsi="仿宋" w:eastAsia="仿宋" w:cs="仿宋"/>
          <w:color w:val="000000" w:themeColor="text1"/>
          <w:sz w:val="24"/>
          <w:highlight w:val="none"/>
          <w:lang w:val="en-US" w:eastAsia="zh-CN"/>
          <w14:textFill>
            <w14:solidFill>
              <w14:schemeClr w14:val="tx1"/>
            </w14:solidFill>
          </w14:textFill>
        </w:rPr>
        <w:t>省、市批复文件为准</w:t>
      </w:r>
      <w:r>
        <w:rPr>
          <w:rFonts w:hint="eastAsia" w:ascii="仿宋" w:hAnsi="仿宋" w:eastAsia="仿宋" w:cs="仿宋"/>
          <w:color w:val="000000" w:themeColor="text1"/>
          <w:sz w:val="24"/>
          <w:szCs w:val="24"/>
          <w:highlight w:val="none"/>
          <w14:textFill>
            <w14:solidFill>
              <w14:schemeClr w14:val="tx1"/>
            </w14:solidFill>
          </w14:textFill>
        </w:rPr>
        <w:t>。</w:t>
      </w:r>
    </w:p>
    <w:p w14:paraId="214ECAA1">
      <w:pPr>
        <w:pStyle w:val="2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项目实施方案</w:t>
      </w:r>
      <w:r>
        <w:rPr>
          <w:rFonts w:hint="eastAsia" w:ascii="仿宋" w:hAnsi="仿宋" w:eastAsia="仿宋" w:cs="仿宋"/>
          <w:b/>
          <w:bCs/>
          <w:color w:val="auto"/>
          <w:sz w:val="24"/>
          <w:szCs w:val="24"/>
          <w:highlight w:val="none"/>
        </w:rPr>
        <w:t xml:space="preserve"> </w:t>
      </w:r>
    </w:p>
    <w:p w14:paraId="27A08B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内容如下：</w:t>
      </w:r>
    </w:p>
    <w:p w14:paraId="592093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）项目整体编制方案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针对土地开发方案的特点以及项目背景、项目内容、项目服务要求、项目任务等方面进行</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编制，根据本项目特征梳理本项目技术路线，形成完整的技术思路，技术方案（需涵盖基础资料收集与调查、初步划分开发片区、成片开发片区的效益评估、片区征求意见、方案编制、方案报批与修改完善等内容），</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应切合泗洪当地情况，要</w:t>
      </w:r>
      <w:r>
        <w:rPr>
          <w:rFonts w:hint="eastAsia" w:ascii="仿宋" w:hAnsi="仿宋" w:eastAsia="仿宋" w:cs="仿宋"/>
          <w:color w:val="auto"/>
          <w:sz w:val="24"/>
          <w:szCs w:val="24"/>
          <w:highlight w:val="none"/>
        </w:rPr>
        <w:t>全面、</w:t>
      </w:r>
      <w:r>
        <w:rPr>
          <w:rFonts w:hint="eastAsia" w:ascii="仿宋" w:hAnsi="仿宋" w:eastAsia="仿宋" w:cs="仿宋"/>
          <w:color w:val="auto"/>
          <w:sz w:val="24"/>
          <w:szCs w:val="24"/>
          <w:highlight w:val="none"/>
          <w:lang w:val="en-US" w:eastAsia="zh-CN"/>
        </w:rPr>
        <w:t>合理、</w:t>
      </w:r>
      <w:r>
        <w:rPr>
          <w:rFonts w:hint="eastAsia" w:ascii="仿宋" w:hAnsi="仿宋" w:eastAsia="仿宋" w:cs="仿宋"/>
          <w:color w:val="auto"/>
          <w:sz w:val="24"/>
          <w:szCs w:val="24"/>
          <w:highlight w:val="none"/>
        </w:rPr>
        <w:t>切实可行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有利于采购人实现本项目的采购目标</w:t>
      </w:r>
      <w:r>
        <w:rPr>
          <w:rFonts w:hint="eastAsia" w:ascii="仿宋" w:hAnsi="仿宋" w:eastAsia="仿宋" w:cs="仿宋"/>
          <w:color w:val="auto"/>
          <w:sz w:val="24"/>
          <w:szCs w:val="24"/>
          <w:highlight w:val="none"/>
        </w:rPr>
        <w:t>。</w:t>
      </w:r>
    </w:p>
    <w:p w14:paraId="14AD0AD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）项目重点难点及对应措施建议：针对土地征收成片开发方案的重点难点</w:t>
      </w:r>
      <w:r>
        <w:rPr>
          <w:rFonts w:hint="eastAsia" w:ascii="仿宋" w:hAnsi="仿宋" w:eastAsia="仿宋" w:cs="仿宋"/>
          <w:color w:val="auto"/>
          <w:sz w:val="24"/>
          <w:szCs w:val="24"/>
          <w:highlight w:val="none"/>
          <w:lang w:val="en-US" w:eastAsia="zh-CN"/>
        </w:rPr>
        <w:t>提出</w:t>
      </w:r>
      <w:r>
        <w:rPr>
          <w:rFonts w:hint="eastAsia" w:ascii="仿宋" w:hAnsi="仿宋" w:eastAsia="仿宋" w:cs="仿宋"/>
          <w:color w:val="auto"/>
          <w:sz w:val="24"/>
          <w:szCs w:val="24"/>
          <w:highlight w:val="none"/>
        </w:rPr>
        <w:t>的分析及措施建议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val="en-US" w:eastAsia="zh-CN"/>
        </w:rPr>
        <w:t>应符合政策规定及切合当地实际情况，应</w:t>
      </w:r>
      <w:r>
        <w:rPr>
          <w:rFonts w:hint="eastAsia" w:ascii="仿宋" w:hAnsi="仿宋" w:eastAsia="仿宋" w:cs="仿宋"/>
          <w:color w:val="auto"/>
          <w:sz w:val="24"/>
          <w:szCs w:val="24"/>
          <w:highlight w:val="none"/>
        </w:rPr>
        <w:t>全面、细致、有针对性。</w:t>
      </w:r>
    </w:p>
    <w:p w14:paraId="3EDD3F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）项目进度</w:t>
      </w:r>
      <w:r>
        <w:rPr>
          <w:rFonts w:hint="eastAsia" w:ascii="仿宋" w:hAnsi="仿宋" w:eastAsia="仿宋" w:cs="仿宋"/>
          <w:color w:val="auto"/>
          <w:sz w:val="24"/>
          <w:szCs w:val="24"/>
          <w:highlight w:val="none"/>
          <w:lang w:val="en-US" w:eastAsia="zh-CN"/>
        </w:rPr>
        <w:t>安排</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针</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土地征收成片开发调整方案</w:t>
      </w:r>
      <w:r>
        <w:rPr>
          <w:rFonts w:hint="eastAsia" w:ascii="仿宋" w:hAnsi="仿宋" w:eastAsia="仿宋" w:cs="仿宋"/>
          <w:color w:val="auto"/>
          <w:sz w:val="24"/>
          <w:szCs w:val="24"/>
          <w:highlight w:val="none"/>
        </w:rPr>
        <w:t>的进度安排合理性、工序管理措施科学性、工期滞后弥补办法、突发情况应急办法、工期时间长短等内容</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编制，方案应当</w:t>
      </w:r>
      <w:r>
        <w:rPr>
          <w:rFonts w:hint="eastAsia" w:ascii="仿宋" w:hAnsi="仿宋" w:eastAsia="仿宋" w:cs="仿宋"/>
          <w:color w:val="auto"/>
          <w:sz w:val="24"/>
          <w:szCs w:val="24"/>
          <w:highlight w:val="none"/>
        </w:rPr>
        <w:t>全面、细致、有针对性。</w:t>
      </w:r>
    </w:p>
    <w:p w14:paraId="2836052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）项目质量、安全保密措施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w:t>
      </w:r>
      <w:r>
        <w:rPr>
          <w:rFonts w:hint="eastAsia" w:ascii="仿宋" w:hAnsi="仿宋" w:eastAsia="仿宋" w:cs="仿宋"/>
          <w:color w:val="auto"/>
          <w:sz w:val="24"/>
          <w:szCs w:val="24"/>
          <w:highlight w:val="none"/>
          <w:lang w:val="en-US" w:eastAsia="zh-CN"/>
        </w:rPr>
        <w:t>土地征收成片开发方案项目成果顺利通过上级人民政府批复所</w:t>
      </w:r>
      <w:r>
        <w:rPr>
          <w:rFonts w:hint="eastAsia" w:ascii="仿宋" w:hAnsi="仿宋" w:eastAsia="仿宋" w:cs="仿宋"/>
          <w:color w:val="auto"/>
          <w:sz w:val="24"/>
          <w:szCs w:val="24"/>
          <w:highlight w:val="none"/>
        </w:rPr>
        <w:t>提供质量管理保障</w:t>
      </w:r>
      <w:r>
        <w:rPr>
          <w:rFonts w:hint="eastAsia" w:ascii="仿宋" w:hAnsi="仿宋" w:eastAsia="仿宋" w:cs="仿宋"/>
          <w:color w:val="auto"/>
          <w:sz w:val="24"/>
          <w:szCs w:val="24"/>
          <w:highlight w:val="none"/>
          <w:lang w:val="en-US" w:eastAsia="zh-CN"/>
        </w:rPr>
        <w:t>及安全保密相应</w:t>
      </w:r>
      <w:r>
        <w:rPr>
          <w:rFonts w:hint="eastAsia" w:ascii="仿宋" w:hAnsi="仿宋" w:eastAsia="仿宋" w:cs="仿宋"/>
          <w:color w:val="auto"/>
          <w:sz w:val="24"/>
          <w:szCs w:val="24"/>
          <w:highlight w:val="none"/>
        </w:rPr>
        <w:t>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措施方案应符合政策规定及切合当地实际情况，供应商提供的质量、安全、保密等保障措施应当具有完整性、合理性；制定明确的成果资料保密措施和安全保障手段等内容进行详尽描述</w:t>
      </w:r>
      <w:r>
        <w:rPr>
          <w:rFonts w:hint="eastAsia" w:ascii="仿宋" w:hAnsi="仿宋" w:eastAsia="仿宋" w:cs="仿宋"/>
          <w:color w:val="auto"/>
          <w:sz w:val="24"/>
          <w:szCs w:val="24"/>
          <w:highlight w:val="none"/>
        </w:rPr>
        <w:t>。</w:t>
      </w:r>
    </w:p>
    <w:p w14:paraId="5F3FAD4D">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服务保障措施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针对土地征收成片开发方</w:t>
      </w:r>
      <w:r>
        <w:rPr>
          <w:rFonts w:hint="eastAsia" w:ascii="仿宋" w:hAnsi="仿宋" w:eastAsia="仿宋" w:cs="仿宋"/>
          <w:color w:val="auto"/>
          <w:sz w:val="24"/>
          <w:szCs w:val="24"/>
          <w:highlight w:val="none"/>
        </w:rPr>
        <w:t>项目结束后对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提供的</w:t>
      </w:r>
      <w:r>
        <w:rPr>
          <w:rFonts w:hint="eastAsia" w:ascii="仿宋" w:hAnsi="仿宋" w:eastAsia="仿宋" w:cs="仿宋"/>
          <w:color w:val="auto"/>
          <w:sz w:val="24"/>
          <w:szCs w:val="24"/>
          <w:highlight w:val="none"/>
          <w:lang w:val="en-US" w:eastAsia="zh-CN"/>
        </w:rPr>
        <w:t>后续</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后续服务方案应有利于采购人以及对本项目服务成果的完善，从服务保证体系（问题的响应处理、问题的解决办法），后续服务措施（人员配备培训、服务响应时间及维护能力），对完结后的项目持续跟踪和免费答疑、技术人员对项目成果的回访调查和完善等方面进行详尽描述，方案内容应完整详实、切实可行。</w:t>
      </w:r>
    </w:p>
    <w:p w14:paraId="58966FB0">
      <w:pPr>
        <w:pStyle w:val="27"/>
        <w:keepNext w:val="0"/>
        <w:keepLines w:val="0"/>
        <w:pageBreakBefore w:val="0"/>
        <w:widowControl w:val="0"/>
        <w:numPr>
          <w:ilvl w:val="0"/>
          <w:numId w:val="0"/>
        </w:numPr>
        <w:spacing w:line="480" w:lineRule="exact"/>
        <w:rPr>
          <w:rStyle w:val="13"/>
          <w:rFonts w:hint="eastAsia" w:ascii="仿宋" w:hAnsi="仿宋" w:eastAsia="仿宋" w:cs="仿宋"/>
          <w:b/>
          <w:bCs/>
          <w:sz w:val="24"/>
          <w:szCs w:val="24"/>
          <w:highlight w:val="none"/>
          <w:lang w:val="en-US" w:eastAsia="zh-CN"/>
        </w:rPr>
      </w:pPr>
      <w:r>
        <w:rPr>
          <w:rStyle w:val="13"/>
          <w:rFonts w:hint="eastAsia" w:ascii="仿宋" w:hAnsi="仿宋" w:eastAsia="仿宋" w:cs="仿宋"/>
          <w:b/>
          <w:bCs/>
          <w:sz w:val="24"/>
          <w:szCs w:val="24"/>
          <w:highlight w:val="none"/>
          <w:lang w:val="en-US" w:eastAsia="zh-CN"/>
        </w:rPr>
        <w:t>十、报价有关的其他要求</w:t>
      </w:r>
    </w:p>
    <w:p w14:paraId="6CF73169">
      <w:pPr>
        <w:pStyle w:val="27"/>
        <w:keepNext w:val="0"/>
        <w:keepLines w:val="0"/>
        <w:pageBreakBefore w:val="0"/>
        <w:widowControl w:val="0"/>
        <w:numPr>
          <w:ilvl w:val="0"/>
          <w:numId w:val="0"/>
        </w:numPr>
        <w:spacing w:line="480" w:lineRule="exact"/>
        <w:ind w:left="0" w:firstLine="480"/>
        <w:rPr>
          <w:rStyle w:val="13"/>
          <w:rFonts w:hint="eastAsia" w:ascii="仿宋" w:hAnsi="仿宋" w:eastAsia="仿宋" w:cs="仿宋"/>
          <w:b w:val="0"/>
          <w:bCs w:val="0"/>
          <w:sz w:val="24"/>
          <w:szCs w:val="24"/>
          <w:highlight w:val="none"/>
          <w:lang w:val="en-US" w:eastAsia="zh-CN"/>
        </w:rPr>
      </w:pPr>
      <w:r>
        <w:rPr>
          <w:rStyle w:val="13"/>
          <w:rFonts w:hint="eastAsia" w:ascii="仿宋" w:hAnsi="仿宋" w:eastAsia="仿宋" w:cs="仿宋"/>
          <w:b w:val="0"/>
          <w:bCs w:val="0"/>
          <w:sz w:val="24"/>
          <w:szCs w:val="24"/>
          <w:highlight w:val="none"/>
          <w:lang w:val="en-US" w:eastAsia="zh-CN"/>
        </w:rPr>
        <w:t>1、报价内容包括：服务本身价格、</w:t>
      </w:r>
      <w:r>
        <w:rPr>
          <w:rFonts w:hint="eastAsia" w:ascii="仿宋" w:hAnsi="仿宋" w:eastAsia="仿宋" w:cs="仿宋"/>
          <w:kern w:val="2"/>
          <w:sz w:val="24"/>
          <w:szCs w:val="24"/>
          <w:highlight w:val="none"/>
          <w:lang w:val="zh-CN"/>
        </w:rPr>
        <w:t>服务人员工资福利、耗材、服务技能培训、售后服务、利润、税费</w:t>
      </w:r>
      <w:r>
        <w:rPr>
          <w:rStyle w:val="13"/>
          <w:rFonts w:hint="eastAsia" w:ascii="仿宋" w:hAnsi="仿宋" w:eastAsia="仿宋" w:cs="仿宋"/>
          <w:b w:val="0"/>
          <w:bCs w:val="0"/>
          <w:sz w:val="24"/>
          <w:szCs w:val="24"/>
          <w:highlight w:val="none"/>
          <w:lang w:val="en-US" w:eastAsia="zh-CN"/>
        </w:rPr>
        <w:t>税金及交付服务成果过程中涉及到的其他一切费用。</w:t>
      </w:r>
    </w:p>
    <w:p w14:paraId="14A8E7D1">
      <w:pPr>
        <w:spacing w:line="360" w:lineRule="auto"/>
        <w:ind w:firstLine="480" w:firstLineChars="200"/>
        <w:rPr>
          <w:rFonts w:hint="eastAsia" w:ascii="仿宋" w:hAnsi="仿宋" w:eastAsia="仿宋" w:cs="仿宋"/>
          <w:color w:val="auto"/>
          <w:sz w:val="24"/>
          <w:szCs w:val="24"/>
          <w:highlight w:val="none"/>
          <w:lang w:val="en-US" w:eastAsia="zh-CN" w:bidi="ar-SA"/>
        </w:rPr>
      </w:pPr>
      <w:r>
        <w:rPr>
          <w:rStyle w:val="13"/>
          <w:rFonts w:hint="eastAsia" w:ascii="仿宋" w:hAnsi="仿宋" w:eastAsia="仿宋" w:cs="仿宋"/>
          <w:b w:val="0"/>
          <w:bCs w:val="0"/>
          <w:sz w:val="24"/>
          <w:szCs w:val="24"/>
          <w:highlight w:val="none"/>
          <w:lang w:val="en-US" w:eastAsia="zh-CN" w:bidi="ar-SA"/>
        </w:rPr>
        <w:t>2、供应商报价时应充分考虑所有可能影响到报价的因素，一旦招标结束最终成交，成交价将包定，不予调整。如发生漏、缺、少项，都将被认为是成交供应商的报价让利行为，损失自负。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D0CEB"/>
    <w:rsid w:val="022F73A2"/>
    <w:rsid w:val="1CC37E85"/>
    <w:rsid w:val="59C55687"/>
    <w:rsid w:val="5A545013"/>
    <w:rsid w:val="5BED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hint="default" w:ascii="Calibri" w:hAnsi="Calibri" w:eastAsia="宋体" w:cs="Times New Roman"/>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jc w:val="left"/>
    </w:pPr>
    <w:rPr>
      <w:rFonts w:ascii="Times New Roman" w:hAnsi="Times New Roman" w:eastAsia="楷体_GB2312" w:cs="Times New Roman"/>
      <w:sz w:val="24"/>
      <w:szCs w:val="20"/>
    </w:rPr>
  </w:style>
  <w:style w:type="paragraph" w:styleId="3">
    <w:name w:val="Body Text"/>
    <w:basedOn w:val="1"/>
    <w:next w:val="2"/>
    <w:qFormat/>
    <w:uiPriority w:val="0"/>
    <w:pPr>
      <w:spacing w:line="60" w:lineRule="auto"/>
    </w:pPr>
    <w:rPr>
      <w:rFonts w:ascii="仿宋_GB2312" w:eastAsia="仿宋_GB2312"/>
      <w:sz w:val="32"/>
    </w:rPr>
  </w:style>
  <w:style w:type="table" w:styleId="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Normal"/>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9">
    <w:name w:val="正文首行缩进 21"/>
    <w:basedOn w:val="10"/>
    <w:next w:val="1"/>
    <w:qFormat/>
    <w:uiPriority w:val="0"/>
    <w:pPr>
      <w:spacing w:line="360" w:lineRule="auto"/>
      <w:ind w:firstLine="420"/>
    </w:pPr>
    <w:rPr>
      <w:rFonts w:ascii="宋体" w:hAnsi="宋体" w:eastAsia="宋体"/>
      <w:sz w:val="21"/>
      <w:szCs w:val="20"/>
    </w:rPr>
  </w:style>
  <w:style w:type="paragraph" w:customStyle="1" w:styleId="10">
    <w:name w:val="正文文本缩进1"/>
    <w:basedOn w:val="1"/>
    <w:next w:val="11"/>
    <w:qFormat/>
    <w:uiPriority w:val="0"/>
    <w:pPr>
      <w:ind w:firstLine="645"/>
    </w:pPr>
    <w:rPr>
      <w:rFonts w:ascii="楷体_GB2312" w:eastAsia="楷体_GB2312"/>
      <w:sz w:val="32"/>
      <w:szCs w:val="32"/>
    </w:rPr>
  </w:style>
  <w:style w:type="paragraph" w:customStyle="1" w:styleId="11">
    <w:name w:val="寄信人地址1"/>
    <w:basedOn w:val="1"/>
    <w:qFormat/>
    <w:uiPriority w:val="0"/>
    <w:rPr>
      <w:rFonts w:ascii="Arial" w:hAnsi="Arial"/>
    </w:rPr>
  </w:style>
  <w:style w:type="paragraph" w:customStyle="1" w:styleId="12">
    <w:name w:val="Normal_19"/>
    <w:qFormat/>
    <w:uiPriority w:val="0"/>
    <w:pPr>
      <w:widowControl w:val="0"/>
      <w:jc w:val="both"/>
    </w:pPr>
    <w:rPr>
      <w:rFonts w:hint="default" w:ascii="Calibri" w:hAnsi="Calibri" w:eastAsia="宋体" w:cs="Times New Roman"/>
      <w:sz w:val="21"/>
      <w:szCs w:val="24"/>
      <w:lang w:val="en-US" w:eastAsia="zh-CN" w:bidi="ar-SA"/>
    </w:rPr>
  </w:style>
  <w:style w:type="character" w:customStyle="1" w:styleId="13">
    <w:name w:val="默认段落字体1"/>
    <w:link w:val="1"/>
    <w:unhideWhenUsed/>
    <w:qFormat/>
    <w:uiPriority w:val="1"/>
    <w:rPr>
      <w:rFonts w:hint="default" w:ascii="Calibri" w:hAnsi="Calibri" w:eastAsia="宋体" w:cs="Times New Roman"/>
      <w:sz w:val="21"/>
      <w:szCs w:val="22"/>
      <w:lang w:val="en-US" w:eastAsia="zh-CN" w:bidi="ar-SA"/>
    </w:rPr>
  </w:style>
  <w:style w:type="character" w:customStyle="1" w:styleId="14">
    <w:name w:val="font91"/>
    <w:basedOn w:val="6"/>
    <w:qFormat/>
    <w:uiPriority w:val="0"/>
    <w:rPr>
      <w:rFonts w:hint="eastAsia" w:ascii="宋体" w:hAnsi="宋体" w:eastAsia="宋体" w:cs="宋体"/>
      <w:b/>
      <w:bCs/>
      <w:color w:val="000000"/>
      <w:sz w:val="44"/>
      <w:szCs w:val="44"/>
      <w:u w:val="none"/>
    </w:rPr>
  </w:style>
  <w:style w:type="character" w:customStyle="1" w:styleId="15">
    <w:name w:val="font21"/>
    <w:basedOn w:val="6"/>
    <w:qFormat/>
    <w:uiPriority w:val="0"/>
    <w:rPr>
      <w:rFonts w:hint="default" w:ascii="Times New Roman" w:hAnsi="Times New Roman" w:cs="Times New Roman"/>
      <w:b/>
      <w:bCs/>
      <w:color w:val="000000"/>
      <w:sz w:val="44"/>
      <w:szCs w:val="44"/>
      <w:u w:val="none"/>
    </w:rPr>
  </w:style>
  <w:style w:type="character" w:customStyle="1" w:styleId="16">
    <w:name w:val="font101"/>
    <w:basedOn w:val="6"/>
    <w:qFormat/>
    <w:uiPriority w:val="0"/>
    <w:rPr>
      <w:rFonts w:ascii="黑体" w:hAnsi="宋体" w:eastAsia="黑体" w:cs="黑体"/>
      <w:color w:val="000000"/>
      <w:sz w:val="28"/>
      <w:szCs w:val="28"/>
      <w:u w:val="none"/>
    </w:rPr>
  </w:style>
  <w:style w:type="character" w:customStyle="1" w:styleId="17">
    <w:name w:val="font111"/>
    <w:basedOn w:val="6"/>
    <w:qFormat/>
    <w:uiPriority w:val="0"/>
    <w:rPr>
      <w:rFonts w:hint="eastAsia" w:ascii="黑体" w:hAnsi="宋体" w:eastAsia="黑体" w:cs="黑体"/>
      <w:color w:val="000000"/>
      <w:sz w:val="28"/>
      <w:szCs w:val="28"/>
      <w:u w:val="none"/>
    </w:rPr>
  </w:style>
  <w:style w:type="character" w:customStyle="1" w:styleId="18">
    <w:name w:val="font121"/>
    <w:basedOn w:val="6"/>
    <w:qFormat/>
    <w:uiPriority w:val="0"/>
    <w:rPr>
      <w:rFonts w:ascii="仿宋" w:hAnsi="仿宋" w:eastAsia="仿宋" w:cs="仿宋"/>
      <w:color w:val="000000"/>
      <w:sz w:val="24"/>
      <w:szCs w:val="24"/>
      <w:u w:val="none"/>
    </w:rPr>
  </w:style>
  <w:style w:type="character" w:customStyle="1" w:styleId="19">
    <w:name w:val="font132"/>
    <w:basedOn w:val="6"/>
    <w:qFormat/>
    <w:uiPriority w:val="0"/>
    <w:rPr>
      <w:rFonts w:hint="eastAsia" w:ascii="仿宋" w:hAnsi="仿宋" w:eastAsia="仿宋" w:cs="仿宋"/>
      <w:b/>
      <w:bCs/>
      <w:color w:val="000000"/>
      <w:sz w:val="28"/>
      <w:szCs w:val="28"/>
      <w:u w:val="none"/>
    </w:rPr>
  </w:style>
  <w:style w:type="character" w:customStyle="1" w:styleId="20">
    <w:name w:val="font61"/>
    <w:basedOn w:val="6"/>
    <w:qFormat/>
    <w:uiPriority w:val="0"/>
    <w:rPr>
      <w:rFonts w:hint="default" w:ascii="Times New Roman" w:hAnsi="Times New Roman" w:cs="Times New Roman"/>
      <w:b/>
      <w:bCs/>
      <w:color w:val="000000"/>
      <w:sz w:val="28"/>
      <w:szCs w:val="28"/>
      <w:u w:val="none"/>
    </w:rPr>
  </w:style>
  <w:style w:type="paragraph" w:customStyle="1" w:styleId="21">
    <w:name w:val="正文1"/>
    <w:basedOn w:val="1"/>
    <w:next w:val="1"/>
    <w:qFormat/>
    <w:uiPriority w:val="0"/>
    <w:pPr>
      <w:widowControl/>
      <w:spacing w:line="300" w:lineRule="auto"/>
      <w:ind w:left="420"/>
    </w:pPr>
    <w:rPr>
      <w:rFonts w:ascii="等线" w:hAnsi="等线" w:eastAsia="等线"/>
    </w:rPr>
  </w:style>
  <w:style w:type="paragraph" w:customStyle="1" w:styleId="22">
    <w:name w:val="正文_16"/>
    <w:next w:val="23"/>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3">
    <w:name w:val="正文首行缩进 2_1"/>
    <w:basedOn w:val="24"/>
    <w:unhideWhenUsed/>
    <w:qFormat/>
    <w:uiPriority w:val="99"/>
    <w:pPr>
      <w:ind w:firstLine="420"/>
    </w:pPr>
    <w:rPr>
      <w:rFonts w:eastAsia="Times New Roman"/>
    </w:rPr>
  </w:style>
  <w:style w:type="paragraph" w:customStyle="1" w:styleId="24">
    <w:name w:val="正文文本缩进_1"/>
    <w:basedOn w:val="22"/>
    <w:unhideWhenUsed/>
    <w:qFormat/>
    <w:uiPriority w:val="99"/>
    <w:pPr>
      <w:spacing w:after="120"/>
      <w:ind w:left="420"/>
    </w:pPr>
  </w:style>
  <w:style w:type="paragraph" w:customStyle="1" w:styleId="25">
    <w:name w:val="Normal_14_0"/>
    <w:qFormat/>
    <w:uiPriority w:val="0"/>
    <w:pPr>
      <w:widowControl w:val="0"/>
      <w:jc w:val="both"/>
    </w:pPr>
    <w:rPr>
      <w:rFonts w:hint="default" w:ascii="Times New Roman" w:hAnsi="Times New Roman" w:eastAsia="Times New Roman" w:cs="Times New Roman"/>
      <w:lang w:bidi="ar-SA"/>
    </w:rPr>
  </w:style>
  <w:style w:type="paragraph" w:customStyle="1" w:styleId="26">
    <w:name w:val="正文_3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7">
    <w:name w:val="正文_2_0_0_0_0"/>
    <w:basedOn w:val="28"/>
    <w:qFormat/>
    <w:uiPriority w:val="0"/>
    <w:rPr>
      <w:rFonts w:ascii="Calibri" w:hAnsi="Calibri" w:eastAsia="Times New Roman" w:cs="Calibri"/>
      <w:szCs w:val="21"/>
    </w:rPr>
  </w:style>
  <w:style w:type="paragraph" w:customStyle="1" w:styleId="28">
    <w:name w:val="正文_2_0_0"/>
    <w:next w:val="2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9">
    <w:name w:val="页脚_0_0"/>
    <w:basedOn w:val="28"/>
    <w:next w:val="28"/>
    <w:qFormat/>
    <w:uiPriority w:val="0"/>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3600</Words>
  <Characters>3724</Characters>
  <Lines>0</Lines>
  <Paragraphs>0</Paragraphs>
  <TotalTime>0</TotalTime>
  <ScaleCrop>false</ScaleCrop>
  <LinksUpToDate>false</LinksUpToDate>
  <CharactersWithSpaces>3764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2025-06-03T03:20:00Z</dcterms:created>
  <dc:creator>走路草</dc:creator>
  <cp:lastModifiedBy>走路草</cp:lastModifiedBy>
  <dcterms:modified xsi:type="dcterms:W3CDTF">2025-08-01T02:44:44Z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3F5033EB200F4CA88A70F79AEDEEE225_11</vt:lpwstr>
  </property>
  <property fmtid="{D5CDD505-2E9C-101B-9397-08002B2CF9AE}" pid="4" name="KSOTemplateDocerSaveRecord">
    <vt:lpwstr>eyJoZGlkIjoiNmQ2ZTYzMjY2NDY4Y2U4MzE5YzkzODg3MjQzYTA5N2EiLCJ1c2VySWQiOiIyNDI4Mjg3MTAifQ==</vt:lpwstr>
  </property>
</Properties>
</file>